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763AF8" w:rsidRPr="00044A62" w:rsidRDefault="00763AF8" w:rsidP="00763AF8">
      <w:pPr>
        <w:spacing w:after="0" w:line="360" w:lineRule="auto"/>
        <w:jc w:val="center"/>
        <w:outlineLvl w:val="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4A62">
        <w:rPr>
          <w:rFonts w:ascii="Proxima Nova" w:hAnsi="Proxima Nova"/>
          <w:b/>
          <w:color w:val="00B050"/>
          <w:sz w:val="52"/>
        </w:rPr>
        <w:t>Procedura bezpieczeństwa obowiązująca w Szkole Podstawowej nr 4 im. Stanisława Staszica w Będzinie</w:t>
      </w:r>
    </w:p>
    <w:p w:rsidR="00763AF8" w:rsidRPr="00E2128A" w:rsidRDefault="00763AF8" w:rsidP="00763A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OKRESIE PANDEMII</w:t>
      </w:r>
      <w:r w:rsidRPr="00E279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COVID-19</w:t>
      </w:r>
    </w:p>
    <w:p w:rsidR="00763AF8" w:rsidRPr="00D507C8" w:rsidRDefault="00763AF8" w:rsidP="00763AF8">
      <w:pPr>
        <w:spacing w:after="0"/>
        <w:jc w:val="center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 (aktualizacja </w:t>
      </w:r>
      <w:r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04</w:t>
      </w:r>
      <w:r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.0</w:t>
      </w:r>
      <w:r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4</w:t>
      </w:r>
      <w:r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</w:t>
      </w: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202</w:t>
      </w:r>
      <w:r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2</w:t>
      </w: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 r.)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 xml:space="preserve">Ogólne zasady: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</w:t>
            </w:r>
            <w:r w:rsidR="00763AF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omendowane dla pracowników</w:t>
            </w: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 xml:space="preserve">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4A313F" w:rsidRPr="004A313F" w:rsidRDefault="00763AF8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możliwości zajęcia wychowania fizycznego, zajęcia świetlicowe, długie przerwy śródlekcyjne organizowane są na </w:t>
      </w:r>
      <w:r w:rsidR="004A313F">
        <w:rPr>
          <w:rFonts w:ascii="Proxima Nova" w:eastAsia="Times New Roman" w:hAnsi="Proxima Nova" w:cs="Arial"/>
          <w:sz w:val="24"/>
          <w:szCs w:val="24"/>
          <w:lang w:eastAsia="pl-PL"/>
        </w:rPr>
        <w:t>świeżym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powietrzu.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4A313F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np. wyjścia na spacer, akcja Rowerowy Maj.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172C86" w:rsidRPr="00F364B7" w:rsidRDefault="004A313F" w:rsidP="00172C86">
      <w:pPr>
        <w:pStyle w:val="punkty"/>
        <w:numPr>
          <w:ilvl w:val="0"/>
          <w:numId w:val="5"/>
        </w:numPr>
        <w:ind w:left="357" w:hanging="357"/>
      </w:pPr>
      <w:r>
        <w:rPr>
          <w:lang w:bidi="pl-PL"/>
        </w:rPr>
        <w:t>Rodzice/o</w:t>
      </w:r>
      <w:r w:rsidR="00172C86" w:rsidRPr="00F364B7">
        <w:rPr>
          <w:lang w:bidi="pl-PL"/>
        </w:rPr>
        <w:t>piekunowie odprowadzający dzie</w:t>
      </w:r>
      <w:r w:rsidR="009E41F7">
        <w:rPr>
          <w:lang w:bidi="pl-PL"/>
        </w:rPr>
        <w:t>ci</w:t>
      </w:r>
      <w:r w:rsidR="00172C86" w:rsidRPr="00F364B7">
        <w:rPr>
          <w:lang w:bidi="pl-PL"/>
        </w:rPr>
        <w:t xml:space="preserve"> </w:t>
      </w:r>
      <w:r>
        <w:rPr>
          <w:lang w:bidi="pl-PL"/>
        </w:rPr>
        <w:t xml:space="preserve">nie wchodzą na teren szkoły. </w:t>
      </w:r>
    </w:p>
    <w:p w:rsidR="004A313F" w:rsidRDefault="004A313F" w:rsidP="00837C51">
      <w:pPr>
        <w:pStyle w:val="punkty"/>
        <w:numPr>
          <w:ilvl w:val="0"/>
          <w:numId w:val="5"/>
        </w:numPr>
        <w:ind w:left="357" w:hanging="357"/>
      </w:pPr>
      <w:r>
        <w:t>Rodzice/opiekunowie mogą wejść na teren szkoły po wcześniejszym umówieniu się z nauczycielem.</w:t>
      </w:r>
    </w:p>
    <w:p w:rsidR="00F11D05" w:rsidRPr="00F364B7" w:rsidRDefault="004A313F" w:rsidP="00837C51">
      <w:pPr>
        <w:pStyle w:val="punkty"/>
        <w:numPr>
          <w:ilvl w:val="0"/>
          <w:numId w:val="5"/>
        </w:numPr>
        <w:ind w:left="357" w:hanging="357"/>
      </w:pPr>
      <w:r>
        <w:t xml:space="preserve">W uzasadnionych przypadkach </w:t>
      </w:r>
      <w:r w:rsidR="00AC3077">
        <w:t>o</w:t>
      </w:r>
      <w:r w:rsidR="00AC3077">
        <w:t xml:space="preserve">soby </w:t>
      </w:r>
      <w:r w:rsidR="00AC3077" w:rsidRPr="00F364B7">
        <w:t xml:space="preserve">z zewnątrz </w:t>
      </w:r>
      <w:r>
        <w:t xml:space="preserve">mogą wejść tylko </w:t>
      </w:r>
      <w:r w:rsidR="00AC3077">
        <w:t>jeżeli nie wykazują</w:t>
      </w:r>
      <w:r w:rsidRPr="00F364B7">
        <w:t xml:space="preserve"> objawów infekcji lub choroby zakaźnej</w:t>
      </w:r>
      <w:r>
        <w:t xml:space="preserve">,  po wpisaniu się do rejestru wejść i dezynfekcji </w:t>
      </w:r>
      <w:r w:rsidR="005F5E29" w:rsidRPr="00F364B7">
        <w:t>rąk</w:t>
      </w:r>
      <w:r w:rsidR="00715DFB" w:rsidRPr="00F364B7">
        <w:t>.</w:t>
      </w:r>
    </w:p>
    <w:p w:rsidR="00AC5117" w:rsidRPr="00F364B7" w:rsidRDefault="00AC3077" w:rsidP="00715DFB">
      <w:pPr>
        <w:pStyle w:val="punkty"/>
        <w:numPr>
          <w:ilvl w:val="0"/>
          <w:numId w:val="5"/>
        </w:numPr>
        <w:ind w:left="357" w:hanging="357"/>
      </w:pPr>
      <w:r>
        <w:lastRenderedPageBreak/>
        <w:t>W szkole istnieje ścieżka</w:t>
      </w:r>
      <w:r w:rsidR="00E329CD" w:rsidRPr="00F364B7">
        <w:t xml:space="preserve"> szybkiej</w:t>
      </w:r>
      <w:r>
        <w:t xml:space="preserve"> </w:t>
      </w:r>
      <w:r w:rsidR="00E329CD" w:rsidRPr="00F364B7">
        <w:t xml:space="preserve"> komunikacji z </w:t>
      </w:r>
      <w:r>
        <w:t>rodzicami/opiekunami ucznia – kontakt telefoniczny, e-dziennik.</w:t>
      </w:r>
    </w:p>
    <w:p w:rsidR="00AC5117" w:rsidRPr="00F364B7" w:rsidRDefault="00AC3077" w:rsidP="00715DFB">
      <w:pPr>
        <w:pStyle w:val="punkty"/>
        <w:numPr>
          <w:ilvl w:val="0"/>
          <w:numId w:val="5"/>
        </w:numPr>
        <w:ind w:left="357" w:hanging="357"/>
      </w:pPr>
      <w:r>
        <w:t>Szkoła posiada termometr</w:t>
      </w:r>
      <w:r w:rsidR="009C531F" w:rsidRPr="00F364B7">
        <w:t xml:space="preserve"> </w:t>
      </w:r>
      <w:r>
        <w:t xml:space="preserve">bezdotykowy do </w:t>
      </w:r>
      <w:r w:rsidR="00D465E2" w:rsidRPr="00F364B7">
        <w:t>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715DFB" w:rsidRPr="00F364B7" w:rsidRDefault="00AC3077" w:rsidP="00715DFB">
      <w:pPr>
        <w:pStyle w:val="punkty"/>
        <w:numPr>
          <w:ilvl w:val="0"/>
          <w:numId w:val="5"/>
        </w:numPr>
        <w:ind w:left="357" w:hanging="357"/>
      </w:pPr>
      <w:r>
        <w:t>Każda klasa przebywa w miarę możliwości w stałej sali.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</w:t>
      </w:r>
      <w:r w:rsidR="00AC3077">
        <w:rPr>
          <w:b/>
        </w:rPr>
        <w:t xml:space="preserve"> i piciem</w:t>
      </w:r>
      <w:r w:rsidR="008D40D9" w:rsidRPr="00F364B7">
        <w:rPr>
          <w:b/>
        </w:rPr>
        <w:t>.</w:t>
      </w:r>
    </w:p>
    <w:p w:rsidR="00B35B0E" w:rsidRPr="00F364B7" w:rsidRDefault="00AC3077" w:rsidP="003B1FCE">
      <w:pPr>
        <w:pStyle w:val="punkty"/>
        <w:numPr>
          <w:ilvl w:val="0"/>
          <w:numId w:val="5"/>
        </w:numPr>
        <w:ind w:left="357" w:hanging="357"/>
      </w:pPr>
      <w:r>
        <w:t xml:space="preserve"> I</w:t>
      </w:r>
      <w:r w:rsidR="00A62D13" w:rsidRPr="00F364B7">
        <w:t>nfrastruktur</w:t>
      </w:r>
      <w:r>
        <w:t>a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9126B" w:rsidRPr="00F364B7">
        <w:t>,</w:t>
      </w:r>
      <w:r w:rsidR="00C6196E" w:rsidRPr="00F364B7">
        <w:t xml:space="preserve"> </w:t>
      </w:r>
      <w:r w:rsidR="00C9126B" w:rsidRPr="00F364B7">
        <w:t>przybor</w:t>
      </w:r>
      <w:r>
        <w:t>y</w:t>
      </w:r>
      <w:r w:rsidR="00C9126B" w:rsidRPr="00F364B7">
        <w:t xml:space="preserve"> sportow</w:t>
      </w:r>
      <w:r>
        <w:t>e</w:t>
      </w:r>
      <w:r w:rsidR="00C9126B" w:rsidRPr="00F364B7">
        <w:t xml:space="preserve"> </w:t>
      </w:r>
      <w:r w:rsidR="00C6196E" w:rsidRPr="00F364B7">
        <w:t>i materiał</w:t>
      </w:r>
      <w:r>
        <w:t>y</w:t>
      </w:r>
      <w:r w:rsidR="00C6196E" w:rsidRPr="00F364B7">
        <w:t xml:space="preserve"> wykorzystywan</w:t>
      </w:r>
      <w:r>
        <w:t>e</w:t>
      </w:r>
      <w:r w:rsidR="004E75F6" w:rsidRPr="00F364B7">
        <w:t xml:space="preserve"> podczas zajęć</w:t>
      </w:r>
      <w:r>
        <w:t xml:space="preserve"> są  </w:t>
      </w:r>
      <w:r w:rsidRPr="00F364B7">
        <w:t>regularn</w:t>
      </w:r>
      <w:r>
        <w:t>i</w:t>
      </w:r>
      <w:r w:rsidRPr="00F364B7">
        <w:t>e czyszcz</w:t>
      </w:r>
      <w:r>
        <w:t>one</w:t>
      </w:r>
      <w:r w:rsidRPr="00F364B7">
        <w:t>, z użyciem wody z detergentem lub środków dezynfekujących</w:t>
      </w:r>
      <w:r w:rsidR="003B1FCE" w:rsidRPr="00F364B7">
        <w:t xml:space="preserve">. </w:t>
      </w:r>
      <w:r w:rsidR="00A45B8F" w:rsidRPr="00F364B7">
        <w:t xml:space="preserve"> </w:t>
      </w:r>
    </w:p>
    <w:p w:rsidR="00725178" w:rsidRPr="00F364B7" w:rsidRDefault="00AC3077" w:rsidP="00AC3077">
      <w:pPr>
        <w:pStyle w:val="punkty"/>
        <w:numPr>
          <w:ilvl w:val="0"/>
          <w:numId w:val="5"/>
        </w:numPr>
        <w:ind w:left="357" w:hanging="357"/>
      </w:pPr>
      <w:r>
        <w:rPr>
          <w:b/>
        </w:rPr>
        <w:t>Sale</w:t>
      </w:r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</w:t>
      </w:r>
      <w:r>
        <w:rPr>
          <w:b/>
        </w:rPr>
        <w:t>e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 xml:space="preserve">korytarze) </w:t>
      </w:r>
      <w:r>
        <w:rPr>
          <w:b/>
        </w:rPr>
        <w:t xml:space="preserve">wietrzone są </w:t>
      </w:r>
      <w:r w:rsidR="00C37F74" w:rsidRPr="00F364B7">
        <w:rPr>
          <w:b/>
        </w:rPr>
        <w:t>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Pr="00F364B7" w:rsidRDefault="00427E93" w:rsidP="006A62E5">
      <w:pPr>
        <w:pStyle w:val="punkty"/>
        <w:numPr>
          <w:ilvl w:val="0"/>
          <w:numId w:val="5"/>
        </w:numPr>
      </w:pPr>
      <w:r>
        <w:t>U</w:t>
      </w:r>
      <w:r w:rsidR="004E75F6" w:rsidRPr="00F364B7">
        <w:t>czniowie</w:t>
      </w:r>
      <w:r w:rsidR="00FE4175" w:rsidRPr="00F364B7">
        <w:t xml:space="preserve"> nie </w:t>
      </w:r>
      <w:r>
        <w:t>przynoszą</w:t>
      </w:r>
      <w:r w:rsidR="00FE4175" w:rsidRPr="00F364B7">
        <w:t xml:space="preserve">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>
        <w:t>Rodzice/o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075D99" w:rsidRPr="00F364B7" w:rsidRDefault="00427E93" w:rsidP="006A62E5">
      <w:pPr>
        <w:pStyle w:val="punkty"/>
        <w:numPr>
          <w:ilvl w:val="0"/>
          <w:numId w:val="5"/>
        </w:numPr>
      </w:pPr>
      <w:r>
        <w:t>P</w:t>
      </w:r>
      <w:r w:rsidR="00FE4175" w:rsidRPr="00F364B7">
        <w:t>ersonel kuchenn</w:t>
      </w:r>
      <w:r>
        <w:t>y</w:t>
      </w:r>
      <w:r w:rsidR="00FE4175" w:rsidRPr="00F364B7">
        <w:t xml:space="preserve"> i pracowni</w:t>
      </w:r>
      <w:r>
        <w:t>cy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>
        <w:t xml:space="preserve">utrzymują ograniczony w miarę możliwości kontakt </w:t>
      </w:r>
      <w:r w:rsidR="00FE4175" w:rsidRPr="00F364B7">
        <w:t>z uczniami oraz nauczycielami.</w:t>
      </w:r>
      <w:r w:rsidR="00B35B0E" w:rsidRPr="00F364B7">
        <w:t xml:space="preserve"> </w:t>
      </w:r>
    </w:p>
    <w:p w:rsidR="00075D99" w:rsidRPr="00F364B7" w:rsidRDefault="00427E93" w:rsidP="006A62E5">
      <w:pPr>
        <w:pStyle w:val="punkty"/>
        <w:numPr>
          <w:ilvl w:val="0"/>
          <w:numId w:val="5"/>
        </w:numPr>
      </w:pPr>
      <w:r>
        <w:t>Na drzwiach gabinetu p</w:t>
      </w:r>
      <w:r w:rsidR="00AE00E1" w:rsidRPr="00F364B7">
        <w:t>ielęgniark</w:t>
      </w:r>
      <w:r>
        <w:t>i</w:t>
      </w:r>
      <w:r w:rsidR="00BA0CBC" w:rsidRPr="00F364B7">
        <w:t xml:space="preserve"> </w:t>
      </w:r>
      <w:r>
        <w:t xml:space="preserve">szkolnej znajdują się </w:t>
      </w:r>
      <w:r w:rsidR="00A33FAC" w:rsidRPr="00F364B7">
        <w:t>zasad</w:t>
      </w:r>
      <w:r>
        <w:t>y</w:t>
      </w:r>
      <w:r w:rsidR="00A33FAC" w:rsidRPr="00F364B7">
        <w:t xml:space="preserve"> korzystania z gabinetu profilaktyki zdr</w:t>
      </w:r>
      <w:r w:rsidR="00C5756F">
        <w:t>owotnej oraz godzin</w:t>
      </w:r>
      <w:r>
        <w:t>y</w:t>
      </w:r>
      <w:r w:rsidR="002A6EED" w:rsidRPr="00F364B7">
        <w:t xml:space="preserve"> pracy.</w:t>
      </w:r>
      <w:r w:rsidR="00A33FAC" w:rsidRPr="00F364B7">
        <w:t xml:space="preserve"> </w:t>
      </w:r>
    </w:p>
    <w:p w:rsidR="00AC3077" w:rsidRDefault="00AC3077" w:rsidP="00AC3077">
      <w:pPr>
        <w:pStyle w:val="punkty"/>
        <w:numPr>
          <w:ilvl w:val="0"/>
          <w:numId w:val="5"/>
        </w:numPr>
      </w:pPr>
      <w:r>
        <w:rPr>
          <w:lang w:bidi="pl-PL"/>
        </w:rPr>
        <w:t>Z</w:t>
      </w:r>
      <w:r w:rsidRPr="00F364B7">
        <w:rPr>
          <w:lang w:bidi="pl-PL"/>
        </w:rPr>
        <w:t>asady bezpieczeństwa zdrowotnego upowszechnia</w:t>
      </w:r>
      <w:r>
        <w:rPr>
          <w:lang w:bidi="pl-PL"/>
        </w:rPr>
        <w:t>ne</w:t>
      </w:r>
      <w:r w:rsidRPr="00F364B7">
        <w:rPr>
          <w:lang w:bidi="pl-PL"/>
        </w:rPr>
        <w:t xml:space="preserve"> </w:t>
      </w:r>
      <w:r>
        <w:rPr>
          <w:lang w:bidi="pl-PL"/>
        </w:rPr>
        <w:t>są</w:t>
      </w:r>
      <w:r w:rsidRPr="00F364B7">
        <w:rPr>
          <w:lang w:bidi="pl-PL"/>
        </w:rPr>
        <w:t xml:space="preserve"> wśród całej społeczności szkolnej.</w:t>
      </w:r>
    </w:p>
    <w:p w:rsidR="00362215" w:rsidRDefault="00AC3077" w:rsidP="00AC3077">
      <w:pPr>
        <w:pStyle w:val="punkty"/>
        <w:numPr>
          <w:ilvl w:val="0"/>
          <w:numId w:val="5"/>
        </w:numPr>
      </w:pPr>
      <w:r>
        <w:t>W szkole obowiązują procedury postępowania z dziećmi</w:t>
      </w:r>
      <w:r w:rsidR="00775274" w:rsidRPr="00F364B7">
        <w:t xml:space="preserve"> z chorobami przewlekłymi</w:t>
      </w:r>
      <w:r>
        <w:t>.</w:t>
      </w:r>
    </w:p>
    <w:p w:rsidR="00427E93" w:rsidRPr="00F364B7" w:rsidRDefault="00427E93" w:rsidP="00AC3077">
      <w:pPr>
        <w:pStyle w:val="punkty"/>
        <w:numPr>
          <w:ilvl w:val="0"/>
          <w:numId w:val="5"/>
        </w:numPr>
      </w:pPr>
      <w:r>
        <w:t xml:space="preserve">Procedury bezpieczeństwa zdrowotnego aktualizowane są  zgodnie z wytycznymi </w:t>
      </w:r>
      <w:proofErr w:type="spellStart"/>
      <w:r>
        <w:t>MEiN</w:t>
      </w:r>
      <w:proofErr w:type="spellEnd"/>
      <w:r>
        <w:t>, GIS, MZ i  obowiązującymi</w:t>
      </w:r>
      <w:r>
        <w:t xml:space="preserve"> aktami prawnymi.</w:t>
      </w: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A4053D" w:rsidRPr="00F364B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dezynfekcja pomieszczeń </w:t>
      </w:r>
      <w:r w:rsidR="00075D99" w:rsidRPr="00F364B7">
        <w:rPr>
          <w:rFonts w:eastAsiaTheme="minorHAnsi"/>
          <w:color w:val="5BC560"/>
        </w:rPr>
        <w:br/>
        <w:t xml:space="preserve">i </w:t>
      </w:r>
      <w:r w:rsidRPr="00F364B7">
        <w:rPr>
          <w:rFonts w:eastAsiaTheme="minorHAnsi"/>
          <w:color w:val="5BC560"/>
        </w:rPr>
        <w:t>powierzchni</w:t>
      </w:r>
    </w:p>
    <w:p w:rsidR="00427E93" w:rsidRDefault="00427E93" w:rsidP="00231345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 xml:space="preserve">Osoby z zewnątrz </w:t>
      </w:r>
      <w:r w:rsidR="00AE24A8" w:rsidRPr="00F364B7">
        <w:rPr>
          <w:lang w:bidi="pl-PL"/>
        </w:rPr>
        <w:t xml:space="preserve"> </w:t>
      </w:r>
      <w:r w:rsidR="001E071C" w:rsidRPr="00F364B7">
        <w:rPr>
          <w:lang w:bidi="pl-PL"/>
        </w:rPr>
        <w:t>wchodzą</w:t>
      </w:r>
      <w:r>
        <w:rPr>
          <w:lang w:bidi="pl-PL"/>
        </w:rPr>
        <w:t>ce</w:t>
      </w:r>
      <w:r w:rsidR="001E071C" w:rsidRPr="00F364B7">
        <w:rPr>
          <w:lang w:bidi="pl-PL"/>
        </w:rPr>
        <w:t xml:space="preserve">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>
        <w:rPr>
          <w:lang w:bidi="pl-PL"/>
        </w:rPr>
        <w:t>zobowiązane są do zachowania</w:t>
      </w:r>
      <w:r w:rsidR="005D6003" w:rsidRPr="00F364B7">
        <w:rPr>
          <w:lang w:bidi="pl-PL"/>
        </w:rPr>
        <w:t xml:space="preserve"> higien</w:t>
      </w:r>
      <w:r>
        <w:rPr>
          <w:lang w:bidi="pl-PL"/>
        </w:rPr>
        <w:t>y</w:t>
      </w:r>
      <w:r w:rsidR="005D6003" w:rsidRPr="00F364B7">
        <w:rPr>
          <w:lang w:bidi="pl-PL"/>
        </w:rPr>
        <w:t xml:space="preserve"> rąk</w:t>
      </w:r>
      <w:r>
        <w:rPr>
          <w:lang w:bidi="pl-PL"/>
        </w:rPr>
        <w:t xml:space="preserve"> – dezynfekcja.</w:t>
      </w:r>
    </w:p>
    <w:p w:rsidR="00A4053D" w:rsidRPr="00F364B7" w:rsidRDefault="00071A99" w:rsidP="00231345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>Uczniowie</w:t>
      </w:r>
      <w:r w:rsidR="00427E93">
        <w:rPr>
          <w:lang w:bidi="pl-PL"/>
        </w:rPr>
        <w:t xml:space="preserve"> i pracowni</w:t>
      </w:r>
      <w:r>
        <w:rPr>
          <w:lang w:bidi="pl-PL"/>
        </w:rPr>
        <w:t>cy</w:t>
      </w:r>
      <w:r w:rsidR="00427E93">
        <w:rPr>
          <w:lang w:bidi="pl-PL"/>
        </w:rPr>
        <w:t xml:space="preserve"> szkoły</w:t>
      </w:r>
      <w:r w:rsidR="00C30544" w:rsidRPr="00F364B7">
        <w:rPr>
          <w:lang w:bidi="pl-PL"/>
        </w:rPr>
        <w:t xml:space="preserve"> </w:t>
      </w:r>
      <w:r>
        <w:rPr>
          <w:lang w:bidi="pl-PL"/>
        </w:rPr>
        <w:t xml:space="preserve">powinni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>
        <w:rPr>
          <w:lang w:bidi="pl-PL"/>
        </w:rPr>
        <w:t>i</w:t>
      </w:r>
      <w:r w:rsidR="00427E93">
        <w:rPr>
          <w:lang w:bidi="pl-PL"/>
        </w:rPr>
        <w:t>e my</w:t>
      </w:r>
      <w:r>
        <w:rPr>
          <w:lang w:bidi="pl-PL"/>
        </w:rPr>
        <w:t>ć</w:t>
      </w:r>
      <w:r w:rsidR="00427E93">
        <w:rPr>
          <w:lang w:bidi="pl-PL"/>
        </w:rPr>
        <w:t xml:space="preserve"> </w:t>
      </w:r>
      <w:proofErr w:type="spellStart"/>
      <w:r w:rsidR="00427E93">
        <w:rPr>
          <w:lang w:bidi="pl-PL"/>
        </w:rPr>
        <w:t>r</w:t>
      </w:r>
      <w:r>
        <w:rPr>
          <w:lang w:bidi="pl-PL"/>
        </w:rPr>
        <w:t>ręce</w:t>
      </w:r>
      <w:proofErr w:type="spellEnd"/>
      <w:r w:rsidR="00427E93">
        <w:rPr>
          <w:lang w:bidi="pl-PL"/>
        </w:rPr>
        <w:t xml:space="preserve"> wodą z mydłem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lastRenderedPageBreak/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</w:t>
      </w:r>
      <w:r w:rsidR="00427E93">
        <w:rPr>
          <w:lang w:bidi="pl-PL"/>
        </w:rPr>
        <w:t>D</w:t>
      </w:r>
      <w:r w:rsidR="002332F6" w:rsidRPr="00F364B7">
        <w:rPr>
          <w:lang w:bidi="pl-PL"/>
        </w:rPr>
        <w:t>ozownik</w:t>
      </w:r>
      <w:r w:rsidR="00427E93">
        <w:rPr>
          <w:lang w:bidi="pl-PL"/>
        </w:rPr>
        <w:t>i</w:t>
      </w:r>
      <w:r w:rsidR="002332F6" w:rsidRPr="00F364B7">
        <w:rPr>
          <w:lang w:bidi="pl-PL"/>
        </w:rPr>
        <w:t xml:space="preserve"> z mydłem</w:t>
      </w:r>
      <w:r w:rsidR="00427E93">
        <w:rPr>
          <w:lang w:bidi="pl-PL"/>
        </w:rPr>
        <w:t xml:space="preserve"> i płynem dezynfekującym </w:t>
      </w:r>
      <w:r>
        <w:rPr>
          <w:lang w:bidi="pl-PL"/>
        </w:rPr>
        <w:t>należy</w:t>
      </w:r>
      <w:r w:rsidR="00427E93">
        <w:rPr>
          <w:lang w:bidi="pl-PL"/>
        </w:rPr>
        <w:t xml:space="preserve"> </w:t>
      </w:r>
      <w:r w:rsidR="00427E93" w:rsidRPr="00F364B7">
        <w:rPr>
          <w:lang w:bidi="pl-PL"/>
        </w:rPr>
        <w:t>regularn</w:t>
      </w:r>
      <w:r w:rsidR="00427E93">
        <w:rPr>
          <w:lang w:bidi="pl-PL"/>
        </w:rPr>
        <w:t>i</w:t>
      </w:r>
      <w:r w:rsidR="00427E93" w:rsidRPr="00F364B7">
        <w:rPr>
          <w:lang w:bidi="pl-PL"/>
        </w:rPr>
        <w:t>e czy</w:t>
      </w:r>
      <w:r>
        <w:rPr>
          <w:lang w:bidi="pl-PL"/>
        </w:rPr>
        <w:t>ścić</w:t>
      </w:r>
      <w:r w:rsidR="00427E93" w:rsidRPr="00F364B7">
        <w:rPr>
          <w:lang w:bidi="pl-PL"/>
        </w:rPr>
        <w:t xml:space="preserve"> i napełn</w:t>
      </w:r>
      <w:r w:rsidR="00427E93">
        <w:rPr>
          <w:lang w:bidi="pl-PL"/>
        </w:rPr>
        <w:t>ia</w:t>
      </w:r>
      <w:r>
        <w:rPr>
          <w:lang w:bidi="pl-PL"/>
        </w:rPr>
        <w:t>ć</w:t>
      </w:r>
      <w:r w:rsidR="002332F6" w:rsidRPr="00F364B7">
        <w:rPr>
          <w:lang w:bidi="pl-PL"/>
        </w:rPr>
        <w:t>.</w:t>
      </w:r>
    </w:p>
    <w:p w:rsidR="00A4053D" w:rsidRPr="00F364B7" w:rsidRDefault="00071A99" w:rsidP="006A62E5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>Należy prowadzić stały monitoring c</w:t>
      </w:r>
      <w:r w:rsidR="00FE0562" w:rsidRPr="00F364B7">
        <w:rPr>
          <w:lang w:bidi="pl-PL"/>
        </w:rPr>
        <w:t>odzienn</w:t>
      </w:r>
      <w:r>
        <w:rPr>
          <w:lang w:bidi="pl-PL"/>
        </w:rPr>
        <w:t>ych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 porządkow</w:t>
      </w:r>
      <w:r>
        <w:rPr>
          <w:lang w:bidi="pl-PL"/>
        </w:rPr>
        <w:t>ych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proofErr w:type="spellStart"/>
      <w:r w:rsidR="00AC5117" w:rsidRPr="00F364B7">
        <w:rPr>
          <w:lang w:bidi="pl-PL"/>
        </w:rPr>
        <w:t>sal</w:t>
      </w:r>
      <w:proofErr w:type="spellEnd"/>
      <w:r w:rsidR="00AC5117" w:rsidRPr="00F364B7">
        <w:rPr>
          <w:lang w:bidi="pl-PL"/>
        </w:rPr>
        <w:t xml:space="preserve">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</w:t>
      </w:r>
      <w:r>
        <w:rPr>
          <w:lang w:bidi="pl-PL"/>
        </w:rPr>
        <w:t>.</w:t>
      </w:r>
    </w:p>
    <w:p w:rsidR="00071A99" w:rsidRPr="00F364B7" w:rsidRDefault="00071A99" w:rsidP="00071A99">
      <w:pPr>
        <w:pStyle w:val="punkty"/>
        <w:numPr>
          <w:ilvl w:val="0"/>
          <w:numId w:val="8"/>
        </w:numPr>
        <w:rPr>
          <w:lang w:bidi="pl-PL"/>
        </w:rPr>
      </w:pPr>
      <w:r>
        <w:t xml:space="preserve">Należy poddawać </w:t>
      </w:r>
      <w:r w:rsidRPr="00F364B7">
        <w:t>kontroli</w:t>
      </w:r>
      <w:r>
        <w:t xml:space="preserve">, przeglądom technicznym i sanitarnym </w:t>
      </w:r>
      <w:r>
        <w:t>s</w:t>
      </w:r>
      <w:r>
        <w:t>ystem</w:t>
      </w:r>
      <w:r w:rsidRPr="00F364B7">
        <w:t xml:space="preserve"> wentylacyjno-klimatyzacyjn</w:t>
      </w:r>
      <w:r>
        <w:t>y na hali gimnastycznej</w:t>
      </w:r>
      <w:r>
        <w:t>,</w:t>
      </w:r>
      <w:r>
        <w:t xml:space="preserve"> zgodnie z zaleceniami producenta.</w:t>
      </w:r>
      <w:r w:rsidRPr="00F364B7">
        <w:t xml:space="preserve"> </w:t>
      </w:r>
    </w:p>
    <w:p w:rsidR="00A4053D" w:rsidRPr="00F364B7" w:rsidRDefault="00071A99" w:rsidP="006A62E5">
      <w:pPr>
        <w:pStyle w:val="punkty"/>
        <w:numPr>
          <w:ilvl w:val="0"/>
          <w:numId w:val="8"/>
        </w:numPr>
        <w:rPr>
          <w:lang w:bidi="pl-PL"/>
        </w:rPr>
      </w:pPr>
      <w:r>
        <w:rPr>
          <w:lang w:bidi="pl-PL"/>
        </w:rPr>
        <w:t>N</w:t>
      </w:r>
      <w:r w:rsidR="00A4053D" w:rsidRPr="00F364B7">
        <w:rPr>
          <w:lang w:bidi="pl-PL"/>
        </w:rPr>
        <w:t>ależy ściśle przestrzegać zaleceń producenta</w:t>
      </w:r>
      <w:r>
        <w:rPr>
          <w:lang w:bidi="pl-PL"/>
        </w:rPr>
        <w:t xml:space="preserve">, </w:t>
      </w:r>
      <w:r w:rsidR="00A4053D" w:rsidRPr="00F364B7">
        <w:rPr>
          <w:lang w:bidi="pl-PL"/>
        </w:rPr>
        <w:t>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r w:rsidR="009A44FD" w:rsidRPr="00F364B7">
        <w:rPr>
          <w:lang w:bidi="pl-PL"/>
        </w:rPr>
        <w:t>rzadziej niż co</w:t>
      </w:r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:rsidR="001C5C51" w:rsidRPr="00F364B7" w:rsidRDefault="001C5C51" w:rsidP="00936826">
      <w:pPr>
        <w:pStyle w:val="Nagwek1"/>
        <w:spacing w:before="120" w:after="0"/>
        <w:rPr>
          <w:rFonts w:eastAsiaTheme="minorHAnsi"/>
          <w:color w:val="4DAE46"/>
        </w:rPr>
      </w:pPr>
    </w:p>
    <w:p w:rsidR="00936826" w:rsidRPr="00F364B7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>Gastronomia</w:t>
      </w:r>
    </w:p>
    <w:p w:rsidR="00936826" w:rsidRPr="00F364B7" w:rsidRDefault="00936826" w:rsidP="00936826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:rsidR="00A640DB" w:rsidRPr="00F364B7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Przy organizacji żywienia (stołówka, kuchnia</w:t>
      </w:r>
      <w:r w:rsidR="00A5176D" w:rsidRPr="00F364B7">
        <w:t>, jadalnia, inne pomieszczenia przeznaczone na spożycie ciepłych posiłków</w:t>
      </w:r>
      <w:r w:rsidRPr="00F364B7">
        <w:t xml:space="preserve">) w </w:t>
      </w:r>
      <w:r w:rsidR="00A5176D" w:rsidRPr="00F364B7">
        <w:t>szkole</w:t>
      </w:r>
      <w:r w:rsidRPr="00F364B7">
        <w:t xml:space="preserve"> należy zapewnić warunki higieniczne wymagane przepisami prawa. </w:t>
      </w:r>
    </w:p>
    <w:p w:rsidR="00A640DB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 xml:space="preserve">Korzystanie z posiłków </w:t>
      </w:r>
      <w:r w:rsidR="0091270D">
        <w:t>odbywa</w:t>
      </w:r>
      <w:r w:rsidR="00071A99">
        <w:t xml:space="preserve"> </w:t>
      </w:r>
      <w:r w:rsidR="0091270D">
        <w:t xml:space="preserve"> się</w:t>
      </w:r>
      <w:r w:rsidRPr="00F364B7">
        <w:t xml:space="preserve"> w miejsc</w:t>
      </w:r>
      <w:r w:rsidR="00071A99">
        <w:t>u</w:t>
      </w:r>
      <w:r w:rsidRPr="00F364B7">
        <w:t xml:space="preserve"> do tego przeznaczony</w:t>
      </w:r>
      <w:r w:rsidR="00071A99">
        <w:t>m zgodnie z harmonogramem wydawania posiłków opracowanym indywidualnie dla każdej klasy.</w:t>
      </w:r>
    </w:p>
    <w:p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</w:t>
      </w:r>
      <w:r w:rsidR="00015272">
        <w:rPr>
          <w:lang w:bidi="pl-PL"/>
        </w:rPr>
        <w:t xml:space="preserve">zobowiązani są </w:t>
      </w:r>
      <w:r w:rsidRPr="00F364B7">
        <w:rPr>
          <w:lang w:bidi="pl-PL"/>
        </w:rPr>
        <w:t xml:space="preserve"> </w:t>
      </w:r>
      <w:r w:rsidR="00015272">
        <w:rPr>
          <w:lang w:bidi="pl-PL"/>
        </w:rPr>
        <w:t xml:space="preserve">znać </w:t>
      </w:r>
      <w:r w:rsidRPr="00F364B7">
        <w:rPr>
          <w:lang w:bidi="pl-PL"/>
        </w:rPr>
        <w:t>zasad</w:t>
      </w:r>
      <w:r w:rsidR="00015272">
        <w:rPr>
          <w:lang w:bidi="pl-PL"/>
        </w:rPr>
        <w:t>y</w:t>
      </w:r>
      <w:r w:rsidRPr="00F364B7">
        <w:rPr>
          <w:lang w:bidi="pl-PL"/>
        </w:rPr>
        <w:t xml:space="preserve"> wynikając</w:t>
      </w:r>
      <w:r w:rsidR="00015272">
        <w:rPr>
          <w:lang w:bidi="pl-PL"/>
        </w:rPr>
        <w:t>e</w:t>
      </w:r>
      <w:r w:rsidRPr="00F364B7">
        <w:rPr>
          <w:lang w:bidi="pl-PL"/>
        </w:rPr>
        <w:t xml:space="preserve">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</w:t>
      </w:r>
      <w:r w:rsidR="00015272">
        <w:rPr>
          <w:lang w:bidi="pl-PL"/>
        </w:rPr>
        <w:t>ej</w:t>
      </w:r>
      <w:r w:rsidRPr="00F364B7">
        <w:rPr>
          <w:lang w:bidi="pl-PL"/>
        </w:rPr>
        <w:t xml:space="preserve"> w szkole </w:t>
      </w:r>
      <w:r w:rsidR="00015272">
        <w:rPr>
          <w:lang w:bidi="pl-PL"/>
        </w:rPr>
        <w:t>Procedury</w:t>
      </w:r>
      <w:r w:rsidRPr="00F364B7">
        <w:rPr>
          <w:lang w:bidi="pl-PL"/>
        </w:rPr>
        <w:t>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:rsidR="00623A2E" w:rsidRPr="00F364B7" w:rsidRDefault="00015272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>
        <w:rPr>
          <w:lang w:bidi="pl-PL"/>
        </w:rPr>
        <w:t xml:space="preserve">Osoby z </w:t>
      </w:r>
      <w:r w:rsidRPr="00F364B7">
        <w:rPr>
          <w:lang w:bidi="pl-PL"/>
        </w:rPr>
        <w:t>zaobserwowan</w:t>
      </w:r>
      <w:r>
        <w:rPr>
          <w:lang w:bidi="pl-PL"/>
        </w:rPr>
        <w:t>ymi</w:t>
      </w:r>
      <w:r w:rsidRPr="00F364B7">
        <w:rPr>
          <w:lang w:bidi="pl-PL"/>
        </w:rPr>
        <w:t xml:space="preserve"> objaw</w:t>
      </w:r>
      <w:r>
        <w:rPr>
          <w:lang w:bidi="pl-PL"/>
        </w:rPr>
        <w:t>ami</w:t>
      </w:r>
      <w:r w:rsidRPr="00F364B7">
        <w:rPr>
          <w:lang w:bidi="pl-PL"/>
        </w:rPr>
        <w:t xml:space="preserve"> choroby infekcyjnej</w:t>
      </w:r>
      <w:r w:rsidRPr="00F364B7">
        <w:rPr>
          <w:lang w:bidi="pl-PL"/>
        </w:rPr>
        <w:t xml:space="preserve"> </w:t>
      </w:r>
      <w:r>
        <w:rPr>
          <w:lang w:bidi="pl-PL"/>
        </w:rPr>
        <w:t>odizolowane zostają w wyznaczonym</w:t>
      </w:r>
      <w:r w:rsidR="00294D41" w:rsidRPr="00F364B7">
        <w:rPr>
          <w:lang w:bidi="pl-PL"/>
        </w:rPr>
        <w:t xml:space="preserve"> (m.in. wyposażen</w:t>
      </w:r>
      <w:r>
        <w:rPr>
          <w:lang w:bidi="pl-PL"/>
        </w:rPr>
        <w:t>i</w:t>
      </w:r>
      <w:r w:rsidR="00294D41" w:rsidRPr="00F364B7">
        <w:rPr>
          <w:lang w:bidi="pl-PL"/>
        </w:rPr>
        <w:t>e w środki ochrony i płyn dezynfekujący) pomieszczeni</w:t>
      </w:r>
      <w:r>
        <w:rPr>
          <w:lang w:bidi="pl-PL"/>
        </w:rPr>
        <w:t>u</w:t>
      </w:r>
      <w:r w:rsidR="00294D41" w:rsidRPr="00F364B7">
        <w:rPr>
          <w:lang w:bidi="pl-PL"/>
        </w:rPr>
        <w:t xml:space="preserve"> </w:t>
      </w:r>
      <w:bookmarkStart w:id="0" w:name="_GoBack"/>
      <w:bookmarkEnd w:id="0"/>
    </w:p>
    <w:p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lastRenderedPageBreak/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także </w:t>
      </w:r>
      <w:r w:rsidR="00936826" w:rsidRPr="00F364B7">
        <w:rPr>
          <w:lang w:bidi="pl-PL"/>
        </w:rPr>
        <w:t xml:space="preserve"> umycie/</w:t>
      </w:r>
      <w:r w:rsidR="00623A2E" w:rsidRPr="00F364B7">
        <w:rPr>
          <w:lang w:bidi="pl-PL"/>
        </w:rPr>
        <w:t>zdezynfekowanie powierzchni dotykowych (klamki, poręcze, uchwyty itp.).</w:t>
      </w:r>
    </w:p>
    <w:p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:rsidR="00791FF5" w:rsidRPr="00F364B7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F364B7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5C5FDC" w:rsidRPr="00F364B7" w:rsidRDefault="00365FA7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8" w:history="1">
        <w:r w:rsidR="005C5FDC" w:rsidRPr="00F364B7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365FA7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365FA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0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365FA7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1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A7" w:rsidRDefault="00365FA7" w:rsidP="00143D7D">
      <w:pPr>
        <w:spacing w:after="0" w:line="240" w:lineRule="auto"/>
      </w:pPr>
      <w:r>
        <w:separator/>
      </w:r>
    </w:p>
  </w:endnote>
  <w:endnote w:type="continuationSeparator" w:id="0">
    <w:p w:rsidR="00365FA7" w:rsidRDefault="00365FA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72">
          <w:rPr>
            <w:noProof/>
          </w:rPr>
          <w:t>4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A7" w:rsidRDefault="00365FA7" w:rsidP="00143D7D">
      <w:pPr>
        <w:spacing w:after="0" w:line="240" w:lineRule="auto"/>
      </w:pPr>
      <w:r>
        <w:separator/>
      </w:r>
    </w:p>
  </w:footnote>
  <w:footnote w:type="continuationSeparator" w:id="0">
    <w:p w:rsidR="00365FA7" w:rsidRDefault="00365FA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C63A427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C96E2A04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5272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1A99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5FA7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27E93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A313F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3AF8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3077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905B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jak-myc-rece-instrukcja-mycia-r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f08fa60b-ccd2-4666-b688-616c1f8368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urpl.gov.pl/pl/biuletyny-i-wykazy/produkty-biob%C3%B3jc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0EAE-AF84-4066-A48B-9A187205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malgorzata.soja@gmail.com</cp:lastModifiedBy>
  <cp:revision>3</cp:revision>
  <cp:lastPrinted>2022-03-31T08:00:00Z</cp:lastPrinted>
  <dcterms:created xsi:type="dcterms:W3CDTF">2022-04-04T13:45:00Z</dcterms:created>
  <dcterms:modified xsi:type="dcterms:W3CDTF">2022-04-05T14:48:00Z</dcterms:modified>
</cp:coreProperties>
</file>